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63C4" w14:textId="77777777" w:rsidR="00A3004B" w:rsidRDefault="00A3004B"/>
    <w:p w14:paraId="6DF74146" w14:textId="77777777" w:rsidR="00523776" w:rsidRDefault="00A3004B" w:rsidP="00A3004B">
      <w:pPr>
        <w:jc w:val="center"/>
        <w:rPr>
          <w:b/>
          <w:color w:val="FF0000"/>
          <w:sz w:val="28"/>
        </w:rPr>
      </w:pPr>
      <w:r w:rsidRPr="00A3004B">
        <w:rPr>
          <w:b/>
          <w:color w:val="FF0000"/>
          <w:sz w:val="28"/>
        </w:rPr>
        <w:t>Visites</w:t>
      </w:r>
      <w:r w:rsidR="00B66873" w:rsidRPr="00A3004B">
        <w:rPr>
          <w:b/>
          <w:color w:val="FF0000"/>
          <w:sz w:val="28"/>
        </w:rPr>
        <w:t xml:space="preserve"> exploratoires</w:t>
      </w:r>
      <w:r w:rsidR="00523776">
        <w:rPr>
          <w:b/>
          <w:color w:val="FF0000"/>
          <w:sz w:val="28"/>
        </w:rPr>
        <w:t xml:space="preserve"> pour les chercheurs </w:t>
      </w:r>
    </w:p>
    <w:p w14:paraId="419009EC" w14:textId="77777777" w:rsidR="009A2963" w:rsidRPr="00A3004B" w:rsidRDefault="00523776" w:rsidP="00A3004B">
      <w:pPr>
        <w:jc w:val="center"/>
        <w:rPr>
          <w:b/>
          <w:color w:val="FF0000"/>
          <w:sz w:val="28"/>
        </w:rPr>
      </w:pPr>
      <w:r>
        <w:rPr>
          <w:b/>
          <w:color w:val="FF0000"/>
          <w:sz w:val="28"/>
        </w:rPr>
        <w:t>Inserm-NSTC</w:t>
      </w:r>
      <w:r w:rsidR="00A56232">
        <w:rPr>
          <w:b/>
          <w:color w:val="FF0000"/>
          <w:sz w:val="28"/>
        </w:rPr>
        <w:t xml:space="preserve"> </w:t>
      </w:r>
      <w:r>
        <w:rPr>
          <w:b/>
          <w:color w:val="FF0000"/>
          <w:sz w:val="28"/>
        </w:rPr>
        <w:t>(</w:t>
      </w:r>
      <w:r w:rsidR="00A56232">
        <w:rPr>
          <w:b/>
          <w:color w:val="FF0000"/>
          <w:sz w:val="28"/>
        </w:rPr>
        <w:t>Taïwan</w:t>
      </w:r>
      <w:r>
        <w:rPr>
          <w:b/>
          <w:color w:val="FF0000"/>
          <w:sz w:val="28"/>
        </w:rPr>
        <w:t>)</w:t>
      </w:r>
    </w:p>
    <w:p w14:paraId="4DD9875D" w14:textId="77777777" w:rsidR="00A3004B" w:rsidRDefault="00B66873" w:rsidP="00131DB8">
      <w:pPr>
        <w:jc w:val="center"/>
      </w:pPr>
      <w:r w:rsidRPr="00A3004B">
        <w:rPr>
          <w:b/>
          <w:color w:val="FF0000"/>
          <w:sz w:val="28"/>
        </w:rPr>
        <w:t>Appel à candidatures 20</w:t>
      </w:r>
      <w:r w:rsidR="00234126">
        <w:rPr>
          <w:rFonts w:hint="eastAsia"/>
          <w:b/>
          <w:color w:val="FF0000"/>
          <w:sz w:val="28"/>
          <w:lang w:eastAsia="zh-TW"/>
        </w:rPr>
        <w:t>2</w:t>
      </w:r>
      <w:r w:rsidR="00523776">
        <w:rPr>
          <w:b/>
          <w:color w:val="FF0000"/>
          <w:sz w:val="28"/>
          <w:lang w:eastAsia="zh-TW"/>
        </w:rPr>
        <w:t>3 pour mobilités en 2024</w:t>
      </w:r>
    </w:p>
    <w:p w14:paraId="2D2AD274" w14:textId="4D420562" w:rsidR="00666ED7" w:rsidRDefault="005F3174" w:rsidP="00131DB8">
      <w:pPr>
        <w:pBdr>
          <w:top w:val="single" w:sz="4" w:space="1" w:color="auto"/>
          <w:left w:val="single" w:sz="4" w:space="4" w:color="auto"/>
          <w:bottom w:val="single" w:sz="4" w:space="1" w:color="auto"/>
          <w:right w:val="single" w:sz="4" w:space="4" w:color="auto"/>
        </w:pBdr>
        <w:jc w:val="center"/>
      </w:pPr>
      <w:r>
        <w:rPr>
          <w:b/>
          <w:highlight w:val="yellow"/>
        </w:rPr>
        <w:t>C</w:t>
      </w:r>
      <w:bookmarkStart w:id="0" w:name="_GoBack"/>
      <w:bookmarkEnd w:id="0"/>
      <w:r w:rsidR="004251F4" w:rsidRPr="00D526F8">
        <w:rPr>
          <w:b/>
          <w:highlight w:val="yellow"/>
        </w:rPr>
        <w:t xml:space="preserve">lôture le </w:t>
      </w:r>
      <w:r w:rsidR="00D362D8" w:rsidRPr="00517D12">
        <w:rPr>
          <w:b/>
          <w:highlight w:val="yellow"/>
        </w:rPr>
        <w:t>vendredi</w:t>
      </w:r>
      <w:r w:rsidR="00FF07E5" w:rsidRPr="00517D12">
        <w:rPr>
          <w:b/>
          <w:highlight w:val="yellow"/>
        </w:rPr>
        <w:t xml:space="preserve"> 28 </w:t>
      </w:r>
      <w:r w:rsidR="00D362D8" w:rsidRPr="00517D12">
        <w:rPr>
          <w:b/>
          <w:highlight w:val="yellow"/>
        </w:rPr>
        <w:t>juillet 2023</w:t>
      </w:r>
      <w:r w:rsidR="00517D12" w:rsidRPr="00517D12">
        <w:rPr>
          <w:b/>
          <w:highlight w:val="yellow"/>
        </w:rPr>
        <w:t xml:space="preserve"> à 17h00 (CEST)</w:t>
      </w:r>
    </w:p>
    <w:p w14:paraId="5ED8738C" w14:textId="77777777" w:rsidR="00B66873" w:rsidRDefault="00B66873" w:rsidP="00A3004B">
      <w:pPr>
        <w:jc w:val="both"/>
      </w:pPr>
      <w:r>
        <w:t xml:space="preserve">Le </w:t>
      </w:r>
      <w:r w:rsidR="00460292">
        <w:t>National Science and Technology Council (NSTC) de Taiwan</w:t>
      </w:r>
      <w:r>
        <w:t xml:space="preserve"> (</w:t>
      </w:r>
      <w:r w:rsidR="00460292">
        <w:t xml:space="preserve">anciennement </w:t>
      </w:r>
      <w:r>
        <w:t>MOST) et l’Institut national pour la santé et la recherche en médecine (Inserm) offrent aux chercheurs soutenus par les deux institutions l’opportunité d’organiser des visites exploratoires successives</w:t>
      </w:r>
      <w:r w:rsidR="008B7E0C">
        <w:t xml:space="preserve"> croisées</w:t>
      </w:r>
      <w:r>
        <w:t xml:space="preserve">.  L’objectif de ces visites est de permettre aux chercheurs de découvrir le paysage de la recherche en sciences du vivant et de la santé </w:t>
      </w:r>
      <w:r w:rsidR="008B7E0C">
        <w:t>du pays partenaire</w:t>
      </w:r>
      <w:r w:rsidR="004009A4">
        <w:t xml:space="preserve"> ainsi que </w:t>
      </w:r>
      <w:r>
        <w:t>de nouvelles opportunités de coopération basées sur l’excellence scientifique et la complémentarité des chercheurs</w:t>
      </w:r>
      <w:r w:rsidR="004009A4">
        <w:t xml:space="preserve">. </w:t>
      </w:r>
    </w:p>
    <w:p w14:paraId="30D59FAC" w14:textId="77777777" w:rsidR="00B66873" w:rsidRPr="00A3004B" w:rsidRDefault="004009A4" w:rsidP="00A3004B">
      <w:pPr>
        <w:pStyle w:val="Paragraphedeliste"/>
        <w:numPr>
          <w:ilvl w:val="0"/>
          <w:numId w:val="2"/>
        </w:numPr>
        <w:jc w:val="both"/>
        <w:rPr>
          <w:b/>
        </w:rPr>
      </w:pPr>
      <w:r w:rsidRPr="00A3004B">
        <w:rPr>
          <w:b/>
        </w:rPr>
        <w:t xml:space="preserve">Description du programme </w:t>
      </w:r>
    </w:p>
    <w:p w14:paraId="0E5B4CD9" w14:textId="77777777" w:rsidR="004009A4" w:rsidRDefault="00A3004B" w:rsidP="00A3004B">
      <w:pPr>
        <w:jc w:val="both"/>
      </w:pPr>
      <w:r>
        <w:t xml:space="preserve">Le programme s’adresse à un </w:t>
      </w:r>
      <w:r w:rsidRPr="000F7430">
        <w:rPr>
          <w:u w:val="single"/>
        </w:rPr>
        <w:t>tandem composé d’un chercheur français et d’un chercheur taïwanais</w:t>
      </w:r>
      <w:r>
        <w:t xml:space="preserve">. </w:t>
      </w:r>
      <w:r w:rsidR="00B66873">
        <w:t xml:space="preserve">Les visites exploratoires auront lieu successivement dans un pays puis dans l’autre. Chaque institution prendra en charge les frais relatifs à un </w:t>
      </w:r>
      <w:r w:rsidR="00B66873" w:rsidRPr="007E46A8">
        <w:t xml:space="preserve">séjour d’une durée maximum de deux semaines. </w:t>
      </w:r>
      <w:r w:rsidR="00DD5A95" w:rsidRPr="007E46A8">
        <w:t xml:space="preserve">Les visites </w:t>
      </w:r>
      <w:r w:rsidR="00B66873" w:rsidRPr="007E46A8">
        <w:t>peuvent comprendre la participation du chercheur à des séminaires scientifiques, des visites de laboratoires et de plateformes technologiques ainsi que des rencontres avec les scientifiques dont les domaines d’expertise so</w:t>
      </w:r>
      <w:r w:rsidR="004009A4" w:rsidRPr="007E46A8">
        <w:t xml:space="preserve">nt reliés à celui du chercheur. </w:t>
      </w:r>
      <w:r w:rsidR="004009A4" w:rsidRPr="007E46A8">
        <w:rPr>
          <w:u w:val="single"/>
        </w:rPr>
        <w:t>Un maximum de trois chercheurs de chaque partie participera au programme.</w:t>
      </w:r>
      <w:r w:rsidR="004009A4" w:rsidRPr="007E46A8">
        <w:t xml:space="preserve"> </w:t>
      </w:r>
    </w:p>
    <w:p w14:paraId="5F9FDF9F" w14:textId="77777777" w:rsidR="004009A4" w:rsidRPr="00A3004B" w:rsidRDefault="004009A4" w:rsidP="00A3004B">
      <w:pPr>
        <w:pStyle w:val="Paragraphedeliste"/>
        <w:numPr>
          <w:ilvl w:val="0"/>
          <w:numId w:val="2"/>
        </w:numPr>
        <w:jc w:val="both"/>
        <w:rPr>
          <w:b/>
        </w:rPr>
      </w:pPr>
      <w:r w:rsidRPr="00A3004B">
        <w:rPr>
          <w:b/>
        </w:rPr>
        <w:t xml:space="preserve">Eligibilité </w:t>
      </w:r>
    </w:p>
    <w:p w14:paraId="1352B8D9" w14:textId="77777777" w:rsidR="00B66873" w:rsidRDefault="004009A4" w:rsidP="00A3004B">
      <w:pPr>
        <w:jc w:val="both"/>
      </w:pPr>
      <w:r>
        <w:t>Les critères d’éligibilité sont les suivants :</w:t>
      </w:r>
    </w:p>
    <w:p w14:paraId="678A0764" w14:textId="77777777" w:rsidR="004C71DA" w:rsidRDefault="004C71DA" w:rsidP="00131DB8">
      <w:pPr>
        <w:pStyle w:val="Paragraphedeliste"/>
        <w:numPr>
          <w:ilvl w:val="0"/>
          <w:numId w:val="1"/>
        </w:numPr>
        <w:jc w:val="both"/>
      </w:pPr>
      <w:r>
        <w:t xml:space="preserve">En ce qui concerne le </w:t>
      </w:r>
      <w:r w:rsidR="00B82401">
        <w:t>NSTC</w:t>
      </w:r>
      <w:r>
        <w:t xml:space="preserve">, les chercheurs éligibles sont ceux qualifiés de porteurs de projets du </w:t>
      </w:r>
      <w:r w:rsidR="00B82401">
        <w:t>NSTC</w:t>
      </w:r>
      <w:r>
        <w:t>.</w:t>
      </w:r>
    </w:p>
    <w:p w14:paraId="354A67C3" w14:textId="77777777" w:rsidR="004C71DA" w:rsidRDefault="004C71DA">
      <w:pPr>
        <w:pStyle w:val="Paragraphedeliste"/>
        <w:numPr>
          <w:ilvl w:val="0"/>
          <w:numId w:val="1"/>
        </w:numPr>
        <w:jc w:val="both"/>
      </w:pPr>
      <w:r>
        <w:t>En ce qui concerne l'Inserm, les chercheurs éligibles sont ceux qui travaillent au sein d'unités de recherche Inserm.</w:t>
      </w:r>
    </w:p>
    <w:p w14:paraId="027B74EB" w14:textId="77777777" w:rsidR="00A3004B" w:rsidRPr="00131DB8" w:rsidRDefault="00A3004B" w:rsidP="00131DB8">
      <w:pPr>
        <w:pStyle w:val="Paragraphedeliste"/>
        <w:rPr>
          <w:b/>
        </w:rPr>
      </w:pPr>
    </w:p>
    <w:p w14:paraId="5540FD03" w14:textId="77777777" w:rsidR="004009A4" w:rsidRPr="00A3004B" w:rsidRDefault="004009A4" w:rsidP="00A3004B">
      <w:pPr>
        <w:pStyle w:val="Paragraphedeliste"/>
        <w:numPr>
          <w:ilvl w:val="0"/>
          <w:numId w:val="2"/>
        </w:numPr>
        <w:jc w:val="both"/>
        <w:rPr>
          <w:b/>
        </w:rPr>
      </w:pPr>
      <w:r w:rsidRPr="00A3004B">
        <w:rPr>
          <w:b/>
        </w:rPr>
        <w:t>Domaines prioritaires de recherche</w:t>
      </w:r>
    </w:p>
    <w:p w14:paraId="39374B49" w14:textId="77777777" w:rsidR="004009A4" w:rsidRDefault="004009A4" w:rsidP="00A3004B">
      <w:pPr>
        <w:jc w:val="both"/>
      </w:pPr>
      <w:r>
        <w:t>Les domaines prioritairement soutenus dans le cadre d</w:t>
      </w:r>
      <w:r w:rsidR="008B7E0C">
        <w:t>u</w:t>
      </w:r>
      <w:r>
        <w:t xml:space="preserve"> programme sont </w:t>
      </w:r>
      <w:r w:rsidRPr="00131DB8">
        <w:rPr>
          <w:b/>
        </w:rPr>
        <w:t>l’intelligence</w:t>
      </w:r>
      <w:r>
        <w:t xml:space="preserve"> </w:t>
      </w:r>
      <w:r w:rsidRPr="00A3004B">
        <w:rPr>
          <w:b/>
        </w:rPr>
        <w:t>artificielle, les dispositifs médicaux et les maladies infectieuses.</w:t>
      </w:r>
      <w:r>
        <w:t xml:space="preserve"> Toutefois, toutes les candidatures </w:t>
      </w:r>
      <w:r w:rsidR="00A3004B">
        <w:t>proposant</w:t>
      </w:r>
      <w:r>
        <w:t xml:space="preserve"> un projet </w:t>
      </w:r>
      <w:r w:rsidR="00A3004B">
        <w:t xml:space="preserve">en relation avec les sciences du vivant seront </w:t>
      </w:r>
      <w:r w:rsidR="008B7E0C">
        <w:t xml:space="preserve">également </w:t>
      </w:r>
      <w:r w:rsidR="00A3004B">
        <w:t xml:space="preserve">examinées avec soin. </w:t>
      </w:r>
    </w:p>
    <w:p w14:paraId="19500F48" w14:textId="77777777" w:rsidR="004009A4" w:rsidRPr="00A3004B" w:rsidRDefault="004009A4" w:rsidP="00A3004B">
      <w:pPr>
        <w:pStyle w:val="Paragraphedeliste"/>
        <w:numPr>
          <w:ilvl w:val="0"/>
          <w:numId w:val="2"/>
        </w:numPr>
        <w:jc w:val="both"/>
        <w:rPr>
          <w:b/>
        </w:rPr>
      </w:pPr>
      <w:r w:rsidRPr="00A3004B">
        <w:rPr>
          <w:b/>
        </w:rPr>
        <w:t xml:space="preserve">Financement du programme </w:t>
      </w:r>
    </w:p>
    <w:p w14:paraId="2F66F5E1" w14:textId="2619F120" w:rsidR="004009A4" w:rsidRDefault="004009A4" w:rsidP="00A3004B">
      <w:pPr>
        <w:jc w:val="both"/>
      </w:pPr>
      <w:r>
        <w:t xml:space="preserve">Le pays d’origine prendra en charge les billets d’avion </w:t>
      </w:r>
      <w:r w:rsidR="00A3004B">
        <w:t xml:space="preserve">aller-retour </w:t>
      </w:r>
      <w:r>
        <w:t>en classe économique pour ses chercheurs</w:t>
      </w:r>
      <w:r w:rsidRPr="00976883">
        <w:t xml:space="preserve">. Le pays d’accueil prendra en charge les frais de séjours, ce qui inclut </w:t>
      </w:r>
      <w:r w:rsidR="004E2000" w:rsidRPr="00976883">
        <w:t xml:space="preserve">les frais d’hôtel, de </w:t>
      </w:r>
      <w:r w:rsidR="004E2000" w:rsidRPr="00976883">
        <w:lastRenderedPageBreak/>
        <w:t xml:space="preserve">restauration et de déplacement à l’intérieur du pays. </w:t>
      </w:r>
      <w:r w:rsidR="008B7E0C" w:rsidRPr="00976883">
        <w:rPr>
          <w:u w:val="single"/>
        </w:rPr>
        <w:t>Le budget maximum</w:t>
      </w:r>
      <w:r w:rsidR="005F031D">
        <w:rPr>
          <w:u w:val="single"/>
        </w:rPr>
        <w:t xml:space="preserve"> </w:t>
      </w:r>
      <w:r w:rsidR="008B7E0C" w:rsidRPr="00976883">
        <w:rPr>
          <w:u w:val="single"/>
        </w:rPr>
        <w:t xml:space="preserve">prévu </w:t>
      </w:r>
      <w:r w:rsidR="005F031D">
        <w:rPr>
          <w:u w:val="single"/>
        </w:rPr>
        <w:t xml:space="preserve">par projet </w:t>
      </w:r>
      <w:r w:rsidR="008B7E0C" w:rsidRPr="00976883">
        <w:rPr>
          <w:u w:val="single"/>
        </w:rPr>
        <w:t>est de 10000€ pour l’Inserm</w:t>
      </w:r>
      <w:r w:rsidR="008B7E0C" w:rsidRPr="00976883">
        <w:t xml:space="preserve"> et </w:t>
      </w:r>
      <w:r w:rsidR="004E5BDC" w:rsidRPr="00976883">
        <w:t>350,000 NTD</w:t>
      </w:r>
      <w:r w:rsidR="008B7E0C" w:rsidRPr="00976883">
        <w:t xml:space="preserve"> pour le </w:t>
      </w:r>
      <w:r w:rsidR="00D3453E" w:rsidRPr="00976883">
        <w:t>NSTC</w:t>
      </w:r>
      <w:r w:rsidR="008B7E0C" w:rsidRPr="00976883">
        <w:t>.</w:t>
      </w:r>
    </w:p>
    <w:p w14:paraId="1BF37F79" w14:textId="77777777" w:rsidR="004E2000" w:rsidRPr="00A3004B" w:rsidRDefault="004E2000" w:rsidP="00A3004B">
      <w:pPr>
        <w:pStyle w:val="Paragraphedeliste"/>
        <w:numPr>
          <w:ilvl w:val="0"/>
          <w:numId w:val="2"/>
        </w:numPr>
        <w:jc w:val="both"/>
        <w:rPr>
          <w:b/>
        </w:rPr>
      </w:pPr>
      <w:r w:rsidRPr="00A3004B">
        <w:rPr>
          <w:b/>
        </w:rPr>
        <w:t>Critères de sélection</w:t>
      </w:r>
    </w:p>
    <w:p w14:paraId="676E0A6A" w14:textId="77777777" w:rsidR="004E2000" w:rsidRDefault="004E2000" w:rsidP="00A3004B">
      <w:pPr>
        <w:jc w:val="both"/>
      </w:pPr>
      <w:r>
        <w:t>La sélection des candidats s’effectuera en fonction de l’excellence scientifique des deux chercheurs composants le tandem, de leur complémentarité sur le plan de la recherche ainsi</w:t>
      </w:r>
      <w:r w:rsidR="008326A8">
        <w:t xml:space="preserve"> que d’une ébauche de projet scientifique.</w:t>
      </w:r>
      <w:r>
        <w:t xml:space="preserve"> </w:t>
      </w:r>
    </w:p>
    <w:p w14:paraId="03926CF6" w14:textId="77777777" w:rsidR="004E2000" w:rsidRPr="00A3004B" w:rsidRDefault="004E2000" w:rsidP="00A3004B">
      <w:pPr>
        <w:pStyle w:val="Paragraphedeliste"/>
        <w:numPr>
          <w:ilvl w:val="0"/>
          <w:numId w:val="2"/>
        </w:numPr>
        <w:jc w:val="both"/>
        <w:rPr>
          <w:b/>
        </w:rPr>
      </w:pPr>
      <w:r w:rsidRPr="00A3004B">
        <w:rPr>
          <w:b/>
        </w:rPr>
        <w:t>Modalités de candidature</w:t>
      </w:r>
    </w:p>
    <w:p w14:paraId="236AD4CA" w14:textId="2DC9784D" w:rsidR="004E2000" w:rsidRPr="00A3004B" w:rsidRDefault="004E2000" w:rsidP="00131DB8">
      <w:pPr>
        <w:pBdr>
          <w:top w:val="single" w:sz="4" w:space="1" w:color="auto"/>
          <w:left w:val="single" w:sz="4" w:space="4" w:color="auto"/>
          <w:bottom w:val="single" w:sz="4" w:space="1" w:color="auto"/>
          <w:right w:val="single" w:sz="4" w:space="4" w:color="auto"/>
        </w:pBdr>
        <w:jc w:val="both"/>
        <w:rPr>
          <w:b/>
          <w:color w:val="FF0000"/>
        </w:rPr>
      </w:pPr>
      <w:r w:rsidRPr="00976883">
        <w:rPr>
          <w:b/>
          <w:color w:val="FF0000"/>
          <w:highlight w:val="yellow"/>
        </w:rPr>
        <w:t xml:space="preserve">Les projets de visites </w:t>
      </w:r>
      <w:r w:rsidR="00101441" w:rsidRPr="00976883">
        <w:rPr>
          <w:b/>
          <w:color w:val="FF0000"/>
          <w:highlight w:val="yellow"/>
        </w:rPr>
        <w:t xml:space="preserve">exploratoires devront </w:t>
      </w:r>
      <w:r w:rsidRPr="00976883">
        <w:rPr>
          <w:b/>
          <w:color w:val="FF0000"/>
          <w:highlight w:val="yellow"/>
        </w:rPr>
        <w:t xml:space="preserve">être </w:t>
      </w:r>
      <w:r w:rsidRPr="00976883">
        <w:rPr>
          <w:b/>
          <w:color w:val="FF0000"/>
          <w:highlight w:val="yellow"/>
          <w:u w:val="single"/>
        </w:rPr>
        <w:t xml:space="preserve">soumis en parallèle à l’Inserm ET au </w:t>
      </w:r>
      <w:r w:rsidR="00B63BD6" w:rsidRPr="00976883">
        <w:rPr>
          <w:b/>
          <w:color w:val="FF0000"/>
          <w:highlight w:val="yellow"/>
          <w:u w:val="single"/>
        </w:rPr>
        <w:t>NSTC</w:t>
      </w:r>
      <w:r w:rsidRPr="00976883">
        <w:rPr>
          <w:b/>
          <w:color w:val="FF0000"/>
          <w:highlight w:val="yellow"/>
        </w:rPr>
        <w:t xml:space="preserve"> selon leurs procédures </w:t>
      </w:r>
      <w:r w:rsidR="007F00CD" w:rsidRPr="00976883">
        <w:rPr>
          <w:b/>
          <w:color w:val="FF0000"/>
          <w:highlight w:val="yellow"/>
          <w:lang w:eastAsia="zh-TW"/>
        </w:rPr>
        <w:t xml:space="preserve">et règlements </w:t>
      </w:r>
      <w:r w:rsidRPr="00976883">
        <w:rPr>
          <w:b/>
          <w:color w:val="FF0000"/>
          <w:highlight w:val="yellow"/>
        </w:rPr>
        <w:t>respecti</w:t>
      </w:r>
      <w:r w:rsidR="008B7E0C" w:rsidRPr="00976883">
        <w:rPr>
          <w:b/>
          <w:color w:val="FF0000"/>
          <w:highlight w:val="yellow"/>
        </w:rPr>
        <w:t>f</w:t>
      </w:r>
      <w:r w:rsidRPr="00976883">
        <w:rPr>
          <w:b/>
          <w:color w:val="FF0000"/>
          <w:highlight w:val="yellow"/>
        </w:rPr>
        <w:t xml:space="preserve">s. Les projets </w:t>
      </w:r>
      <w:r w:rsidR="008326A8" w:rsidRPr="00976883">
        <w:rPr>
          <w:b/>
          <w:color w:val="FF0000"/>
          <w:highlight w:val="yellow"/>
        </w:rPr>
        <w:t xml:space="preserve">qui ne seront pas </w:t>
      </w:r>
      <w:r w:rsidRPr="00976883">
        <w:rPr>
          <w:b/>
          <w:color w:val="FF0000"/>
          <w:highlight w:val="yellow"/>
        </w:rPr>
        <w:t xml:space="preserve">co-déposés à la fois auprès de l’Inserm </w:t>
      </w:r>
      <w:r w:rsidR="008326A8" w:rsidRPr="00976883">
        <w:rPr>
          <w:b/>
          <w:color w:val="FF0000"/>
          <w:highlight w:val="yellow"/>
        </w:rPr>
        <w:t xml:space="preserve">ET </w:t>
      </w:r>
      <w:r w:rsidRPr="00976883">
        <w:rPr>
          <w:b/>
          <w:color w:val="FF0000"/>
          <w:highlight w:val="yellow"/>
        </w:rPr>
        <w:t xml:space="preserve">du </w:t>
      </w:r>
      <w:r w:rsidR="00B75183">
        <w:rPr>
          <w:rFonts w:hint="eastAsia"/>
          <w:b/>
          <w:color w:val="FF0000"/>
          <w:highlight w:val="yellow"/>
          <w:lang w:eastAsia="zh-TW"/>
        </w:rPr>
        <w:t>NSTC</w:t>
      </w:r>
      <w:r w:rsidRPr="00976883">
        <w:rPr>
          <w:b/>
          <w:color w:val="FF0000"/>
          <w:highlight w:val="yellow"/>
        </w:rPr>
        <w:t xml:space="preserve"> ne </w:t>
      </w:r>
      <w:r w:rsidR="008326A8" w:rsidRPr="00976883">
        <w:rPr>
          <w:b/>
          <w:color w:val="FF0000"/>
          <w:highlight w:val="yellow"/>
        </w:rPr>
        <w:t xml:space="preserve">pourront être </w:t>
      </w:r>
      <w:r w:rsidRPr="00976883">
        <w:rPr>
          <w:b/>
          <w:color w:val="FF0000"/>
          <w:highlight w:val="yellow"/>
        </w:rPr>
        <w:t>pris en compte.</w:t>
      </w:r>
      <w:r w:rsidRPr="00A3004B">
        <w:rPr>
          <w:b/>
          <w:color w:val="FF0000"/>
        </w:rPr>
        <w:t xml:space="preserve"> </w:t>
      </w:r>
    </w:p>
    <w:p w14:paraId="5471FE6E" w14:textId="77777777" w:rsidR="00775103" w:rsidRDefault="004E2000" w:rsidP="00A3004B">
      <w:pPr>
        <w:jc w:val="both"/>
      </w:pPr>
      <w:r>
        <w:t>Une candidature complète comprend</w:t>
      </w:r>
      <w:r w:rsidR="00775103">
        <w:t> :</w:t>
      </w:r>
    </w:p>
    <w:p w14:paraId="343AB2E1" w14:textId="77777777" w:rsidR="00775103" w:rsidRPr="00B73A0E" w:rsidRDefault="0089597C" w:rsidP="00131DB8">
      <w:pPr>
        <w:pStyle w:val="Paragraphedeliste"/>
        <w:numPr>
          <w:ilvl w:val="0"/>
          <w:numId w:val="5"/>
        </w:numPr>
        <w:jc w:val="both"/>
      </w:pPr>
      <w:r w:rsidRPr="00B73A0E">
        <w:t>Le</w:t>
      </w:r>
      <w:r w:rsidR="004E2000" w:rsidRPr="00B73A0E">
        <w:t xml:space="preserve"> formulaire correspondant dûment rempli</w:t>
      </w:r>
      <w:r w:rsidR="00657A96" w:rsidRPr="00B73A0E">
        <w:t> ;</w:t>
      </w:r>
    </w:p>
    <w:p w14:paraId="4AED3150" w14:textId="77777777" w:rsidR="004E2000" w:rsidRDefault="0089597C" w:rsidP="00131DB8">
      <w:pPr>
        <w:pStyle w:val="Paragraphedeliste"/>
        <w:numPr>
          <w:ilvl w:val="0"/>
          <w:numId w:val="5"/>
        </w:numPr>
        <w:jc w:val="both"/>
      </w:pPr>
      <w:r>
        <w:t>U</w:t>
      </w:r>
      <w:r w:rsidR="00775103">
        <w:t>ne</w:t>
      </w:r>
      <w:r w:rsidR="00C0116B">
        <w:t xml:space="preserve"> </w:t>
      </w:r>
      <w:r w:rsidR="004E2000">
        <w:t xml:space="preserve">courte lettre d’intention résumant le parcours du chercheur, les bénéfices escomptés de la visite exploratoire </w:t>
      </w:r>
      <w:r w:rsidR="00A3004B">
        <w:t xml:space="preserve">et </w:t>
      </w:r>
      <w:r w:rsidR="004E2000">
        <w:t xml:space="preserve">une ébauche des visites qu’il souhaite effectuer sur place. </w:t>
      </w:r>
    </w:p>
    <w:p w14:paraId="0889A029" w14:textId="2518F7EB" w:rsidR="003E7B76" w:rsidRDefault="004E2000" w:rsidP="00A3004B">
      <w:pPr>
        <w:jc w:val="both"/>
      </w:pPr>
      <w:r>
        <w:t xml:space="preserve">Le dépôt des candidatures auprès de l’Inserm </w:t>
      </w:r>
      <w:r w:rsidR="00F40EA6">
        <w:t xml:space="preserve">ET </w:t>
      </w:r>
      <w:r>
        <w:t xml:space="preserve">du </w:t>
      </w:r>
      <w:r w:rsidR="00B75183">
        <w:t>NSTC</w:t>
      </w:r>
      <w:r>
        <w:t xml:space="preserve"> </w:t>
      </w:r>
      <w:r w:rsidR="003E7B76">
        <w:t xml:space="preserve">doit être effectué </w:t>
      </w:r>
      <w:r>
        <w:t>par voie électronique</w:t>
      </w:r>
      <w:r w:rsidR="003E7B76">
        <w:t xml:space="preserve"> </w:t>
      </w:r>
      <w:r w:rsidR="003E7B76" w:rsidRPr="00B36E52">
        <w:rPr>
          <w:b/>
          <w:u w:val="single"/>
        </w:rPr>
        <w:t xml:space="preserve">avant le </w:t>
      </w:r>
      <w:r w:rsidR="00517D12">
        <w:rPr>
          <w:b/>
          <w:u w:val="single"/>
        </w:rPr>
        <w:t>vendredi</w:t>
      </w:r>
      <w:r w:rsidR="00341EE2">
        <w:rPr>
          <w:b/>
          <w:u w:val="single"/>
        </w:rPr>
        <w:t xml:space="preserve"> 28 juillet 2022</w:t>
      </w:r>
      <w:r w:rsidR="003E7B76" w:rsidRPr="00B36E52">
        <w:rPr>
          <w:b/>
          <w:u w:val="single"/>
        </w:rPr>
        <w:t xml:space="preserve"> </w:t>
      </w:r>
      <w:r w:rsidR="00517D12">
        <w:rPr>
          <w:b/>
          <w:u w:val="single"/>
        </w:rPr>
        <w:t xml:space="preserve">à 17h00 </w:t>
      </w:r>
      <w:r w:rsidR="00134CCE" w:rsidRPr="00B36E52">
        <w:rPr>
          <w:b/>
          <w:u w:val="single"/>
        </w:rPr>
        <w:t>inclus</w:t>
      </w:r>
      <w:r w:rsidR="003E7B76">
        <w:t xml:space="preserve"> </w:t>
      </w:r>
      <w:r>
        <w:t>aux contact</w:t>
      </w:r>
      <w:r w:rsidR="009A4019">
        <w:t>s</w:t>
      </w:r>
      <w:r>
        <w:t xml:space="preserve"> mentionnés ci-dessous</w:t>
      </w:r>
      <w:r w:rsidR="003E7B76">
        <w:t> :</w:t>
      </w:r>
    </w:p>
    <w:p w14:paraId="22D1ED0F" w14:textId="77777777" w:rsidR="004E2000" w:rsidRPr="00440DAF" w:rsidRDefault="004E2000" w:rsidP="00A3004B">
      <w:pPr>
        <w:jc w:val="both"/>
        <w:rPr>
          <w:b/>
        </w:rPr>
      </w:pPr>
      <w:r w:rsidRPr="00A3004B">
        <w:rPr>
          <w:b/>
        </w:rPr>
        <w:t xml:space="preserve">Inserm </w:t>
      </w:r>
      <w:r>
        <w:tab/>
      </w:r>
      <w:r>
        <w:tab/>
      </w:r>
      <w:r>
        <w:tab/>
      </w:r>
      <w:r>
        <w:tab/>
      </w:r>
      <w:r>
        <w:tab/>
      </w:r>
      <w:r>
        <w:tab/>
      </w:r>
      <w:r>
        <w:tab/>
      </w:r>
      <w:r>
        <w:tab/>
      </w:r>
      <w:r w:rsidR="008A7E91" w:rsidRPr="00440DAF">
        <w:rPr>
          <w:b/>
        </w:rPr>
        <w:t>NSTC</w:t>
      </w:r>
    </w:p>
    <w:p w14:paraId="6A8019B6" w14:textId="77777777" w:rsidR="004009A4" w:rsidRPr="00440DAF" w:rsidRDefault="00527B7B" w:rsidP="00A3004B">
      <w:pPr>
        <w:jc w:val="both"/>
        <w:rPr>
          <w:rFonts w:ascii="MS Gothic" w:hAnsi="MS Gothic" w:cs="MS Gothic"/>
          <w:u w:val="single"/>
          <w:lang w:eastAsia="zh-TW"/>
        </w:rPr>
      </w:pPr>
      <w:r w:rsidRPr="00440DAF">
        <w:t>Hugues BOITEAU</w:t>
      </w:r>
      <w:r w:rsidR="004E2000" w:rsidRPr="00440DAF">
        <w:tab/>
        <w:t xml:space="preserve">                                                        </w:t>
      </w:r>
      <w:r w:rsidR="00622E29" w:rsidRPr="00440DAF">
        <w:t xml:space="preserve">              </w:t>
      </w:r>
      <w:r w:rsidR="009D4013" w:rsidRPr="00440DAF">
        <w:t xml:space="preserve"> </w:t>
      </w:r>
      <w:r w:rsidR="00622E29" w:rsidRPr="00440DAF">
        <w:t>Min-Chi HU</w:t>
      </w:r>
      <w:r w:rsidR="00622E29" w:rsidRPr="00440DAF">
        <w:rPr>
          <w:rFonts w:ascii="MS Gothic" w:hAnsi="MS Gothic" w:cs="MS Gothic" w:hint="eastAsia"/>
          <w:lang w:eastAsia="zh-TW"/>
        </w:rPr>
        <w:t>胡敏琪</w:t>
      </w:r>
    </w:p>
    <w:p w14:paraId="4F673CF9" w14:textId="77777777" w:rsidR="004E2000" w:rsidRPr="00440DAF" w:rsidRDefault="004E2000" w:rsidP="00A3004B">
      <w:pPr>
        <w:jc w:val="both"/>
        <w:rPr>
          <w:rFonts w:eastAsia="MS Gothic" w:cstheme="minorHAnsi"/>
        </w:rPr>
      </w:pPr>
      <w:r w:rsidRPr="00440DAF">
        <w:rPr>
          <w:rFonts w:eastAsia="MS Gothic" w:cstheme="minorHAnsi"/>
        </w:rPr>
        <w:t xml:space="preserve">Tél. : </w:t>
      </w:r>
      <w:r w:rsidR="00527B7B" w:rsidRPr="00440DAF">
        <w:rPr>
          <w:rFonts w:eastAsia="MS Gothic" w:cstheme="minorHAnsi"/>
        </w:rPr>
        <w:t>+33 (0)1 44 23 62 12</w:t>
      </w:r>
      <w:r w:rsidRPr="00440DAF">
        <w:rPr>
          <w:rFonts w:eastAsia="MS Gothic" w:cstheme="minorHAnsi"/>
        </w:rPr>
        <w:tab/>
      </w:r>
      <w:r w:rsidRPr="00440DAF">
        <w:rPr>
          <w:rFonts w:eastAsia="MS Gothic" w:cstheme="minorHAnsi"/>
        </w:rPr>
        <w:tab/>
      </w:r>
      <w:r w:rsidRPr="00440DAF">
        <w:rPr>
          <w:rFonts w:eastAsia="MS Gothic" w:cstheme="minorHAnsi"/>
        </w:rPr>
        <w:tab/>
      </w:r>
      <w:r w:rsidRPr="00440DAF">
        <w:rPr>
          <w:rFonts w:eastAsia="MS Gothic" w:cstheme="minorHAnsi"/>
        </w:rPr>
        <w:tab/>
      </w:r>
      <w:r w:rsidRPr="00440DAF">
        <w:rPr>
          <w:rFonts w:eastAsia="MS Gothic" w:cstheme="minorHAnsi"/>
        </w:rPr>
        <w:tab/>
        <w:t>Tél. : +</w:t>
      </w:r>
      <w:r w:rsidR="009D4013" w:rsidRPr="00440DAF">
        <w:rPr>
          <w:rFonts w:cstheme="minorHAnsi"/>
          <w:lang w:eastAsia="zh-TW"/>
        </w:rPr>
        <w:t>886 (</w:t>
      </w:r>
      <w:r w:rsidR="009D4013" w:rsidRPr="00440DAF">
        <w:rPr>
          <w:rFonts w:eastAsia="MS Gothic" w:cstheme="minorHAnsi"/>
        </w:rPr>
        <w:t>0)</w:t>
      </w:r>
      <w:r w:rsidR="009D4013" w:rsidRPr="00440DAF">
        <w:rPr>
          <w:rFonts w:cstheme="minorHAnsi"/>
          <w:lang w:eastAsia="zh-TW"/>
        </w:rPr>
        <w:t>2</w:t>
      </w:r>
      <w:r w:rsidRPr="00440DAF">
        <w:rPr>
          <w:rFonts w:eastAsia="MS Gothic" w:cstheme="minorHAnsi"/>
        </w:rPr>
        <w:t xml:space="preserve"> </w:t>
      </w:r>
      <w:r w:rsidR="009D4013" w:rsidRPr="00440DAF">
        <w:rPr>
          <w:rFonts w:eastAsia="MS Gothic" w:cstheme="minorHAnsi"/>
        </w:rPr>
        <w:t>2737-7</w:t>
      </w:r>
      <w:r w:rsidR="00622E29" w:rsidRPr="00440DAF">
        <w:rPr>
          <w:rFonts w:eastAsia="MS Gothic" w:cstheme="minorHAnsi"/>
        </w:rPr>
        <w:t>683</w:t>
      </w:r>
    </w:p>
    <w:p w14:paraId="469AFED6" w14:textId="49EBB2F6" w:rsidR="00622E29" w:rsidRDefault="005F3174" w:rsidP="00622E29">
      <w:pPr>
        <w:jc w:val="both"/>
        <w:rPr>
          <w:rStyle w:val="Lienhypertexte"/>
          <w:rFonts w:cstheme="minorHAnsi"/>
          <w:lang w:eastAsia="zh-TW"/>
        </w:rPr>
      </w:pPr>
      <w:hyperlink r:id="rId8" w:history="1">
        <w:r w:rsidR="00527B7B" w:rsidRPr="00440DAF">
          <w:rPr>
            <w:rStyle w:val="Lienhypertexte"/>
            <w:rFonts w:eastAsia="MS Gothic" w:cstheme="minorHAnsi"/>
          </w:rPr>
          <w:t>hugues.boiteau@inserm.fr</w:t>
        </w:r>
      </w:hyperlink>
      <w:r w:rsidR="004E2000" w:rsidRPr="00440DAF">
        <w:rPr>
          <w:rFonts w:eastAsia="MS Gothic" w:cstheme="minorHAnsi"/>
        </w:rPr>
        <w:tab/>
      </w:r>
      <w:r w:rsidR="004E2000" w:rsidRPr="00440DAF">
        <w:rPr>
          <w:rFonts w:eastAsia="MS Gothic" w:cstheme="minorHAnsi"/>
        </w:rPr>
        <w:tab/>
      </w:r>
      <w:r w:rsidR="004E2000" w:rsidRPr="00440DAF">
        <w:rPr>
          <w:rFonts w:eastAsia="MS Gothic" w:cstheme="minorHAnsi"/>
        </w:rPr>
        <w:tab/>
      </w:r>
      <w:r w:rsidR="004E2000" w:rsidRPr="00440DAF">
        <w:rPr>
          <w:rFonts w:eastAsia="MS Gothic" w:cstheme="minorHAnsi"/>
        </w:rPr>
        <w:tab/>
      </w:r>
      <w:r w:rsidR="004E2000" w:rsidRPr="00440DAF">
        <w:rPr>
          <w:rFonts w:eastAsia="MS Gothic" w:cstheme="minorHAnsi"/>
        </w:rPr>
        <w:tab/>
      </w:r>
      <w:r w:rsidR="00622E29" w:rsidRPr="00440DAF">
        <w:rPr>
          <w:rStyle w:val="Lienhypertexte"/>
          <w:rFonts w:eastAsia="MS Gothic" w:cstheme="minorHAnsi"/>
        </w:rPr>
        <w:t>mchu@</w:t>
      </w:r>
      <w:r w:rsidR="003E4FBA">
        <w:rPr>
          <w:rStyle w:val="Lienhypertexte"/>
          <w:rFonts w:cstheme="minorHAnsi" w:hint="eastAsia"/>
          <w:lang w:eastAsia="zh-TW"/>
        </w:rPr>
        <w:t>nstc</w:t>
      </w:r>
      <w:r w:rsidR="00622E29" w:rsidRPr="00440DAF">
        <w:rPr>
          <w:rStyle w:val="Lienhypertexte"/>
          <w:rFonts w:eastAsia="MS Gothic" w:cstheme="minorHAnsi"/>
        </w:rPr>
        <w:t>.gov.tw</w:t>
      </w:r>
      <w:r w:rsidR="00622E29" w:rsidRPr="00622E29">
        <w:rPr>
          <w:rStyle w:val="Lienhypertexte"/>
          <w:rFonts w:eastAsia="MS Gothic" w:cstheme="minorHAnsi"/>
        </w:rPr>
        <w:t xml:space="preserve"> </w:t>
      </w:r>
    </w:p>
    <w:p w14:paraId="432F448A" w14:textId="77777777" w:rsidR="004E2000" w:rsidRPr="00A3004B" w:rsidRDefault="004E2000" w:rsidP="00622E29">
      <w:pPr>
        <w:jc w:val="both"/>
        <w:rPr>
          <w:rFonts w:cstheme="minorHAnsi"/>
          <w:b/>
        </w:rPr>
      </w:pPr>
      <w:r w:rsidRPr="00A3004B">
        <w:rPr>
          <w:rFonts w:cstheme="minorHAnsi"/>
          <w:b/>
        </w:rPr>
        <w:t xml:space="preserve">Annonce des résultats </w:t>
      </w:r>
    </w:p>
    <w:p w14:paraId="07653216" w14:textId="77777777" w:rsidR="004E2000" w:rsidRDefault="004E2000" w:rsidP="00A3004B">
      <w:pPr>
        <w:jc w:val="both"/>
        <w:rPr>
          <w:rFonts w:cstheme="minorHAnsi"/>
        </w:rPr>
      </w:pPr>
      <w:r>
        <w:rPr>
          <w:rFonts w:cstheme="minorHAnsi"/>
        </w:rPr>
        <w:t xml:space="preserve">Les résultats seront annoncés aux participants </w:t>
      </w:r>
      <w:r w:rsidR="003B408F">
        <w:rPr>
          <w:rFonts w:cstheme="minorHAnsi"/>
        </w:rPr>
        <w:t>à l’issue de la procédure d’</w:t>
      </w:r>
      <w:r w:rsidR="004812E9">
        <w:rPr>
          <w:rFonts w:cstheme="minorHAnsi"/>
        </w:rPr>
        <w:t xml:space="preserve">évaluation </w:t>
      </w:r>
      <w:r w:rsidR="00603F30">
        <w:rPr>
          <w:rFonts w:cstheme="minorHAnsi"/>
        </w:rPr>
        <w:t>des candidatures</w:t>
      </w:r>
      <w:r w:rsidR="00C2228D">
        <w:rPr>
          <w:rFonts w:cstheme="minorHAnsi"/>
        </w:rPr>
        <w:t xml:space="preserve">. Celle-ci </w:t>
      </w:r>
      <w:r w:rsidR="004812E9">
        <w:rPr>
          <w:rFonts w:cstheme="minorHAnsi"/>
        </w:rPr>
        <w:t xml:space="preserve">débutera </w:t>
      </w:r>
      <w:r w:rsidR="003B408F">
        <w:rPr>
          <w:rFonts w:cstheme="minorHAnsi"/>
        </w:rPr>
        <w:t>en</w:t>
      </w:r>
      <w:r w:rsidR="00603F30">
        <w:rPr>
          <w:rFonts w:cstheme="minorHAnsi"/>
        </w:rPr>
        <w:t xml:space="preserve"> </w:t>
      </w:r>
      <w:r w:rsidR="00213D6D">
        <w:rPr>
          <w:rFonts w:cstheme="minorHAnsi"/>
        </w:rPr>
        <w:t>septembre 2023</w:t>
      </w:r>
      <w:r w:rsidR="00C2228D">
        <w:rPr>
          <w:rFonts w:cstheme="minorHAnsi"/>
        </w:rPr>
        <w:t xml:space="preserve"> </w:t>
      </w:r>
      <w:r w:rsidR="00213D6D">
        <w:rPr>
          <w:rFonts w:cstheme="minorHAnsi"/>
        </w:rPr>
        <w:t>pour une annonce prévue fin 2023</w:t>
      </w:r>
      <w:r w:rsidRPr="004812E9">
        <w:rPr>
          <w:rFonts w:cstheme="minorHAnsi"/>
        </w:rPr>
        <w:t>. Les candidats sélectionnés seront soutenus dans leurs démarches ainsi que dans</w:t>
      </w:r>
      <w:r>
        <w:rPr>
          <w:rFonts w:cstheme="minorHAnsi"/>
        </w:rPr>
        <w:t xml:space="preserve"> l’organisation effec</w:t>
      </w:r>
      <w:r w:rsidR="00A3004B">
        <w:rPr>
          <w:rFonts w:cstheme="minorHAnsi"/>
        </w:rPr>
        <w:t xml:space="preserve">tive de leur visite prospective par leur institution d’origine. Ils devront toutefois s’assurer qu’ils sont en possession d’un passeport valable ainsi que d’une assurance leur permettant de voyager dans le pays d’accueil. </w:t>
      </w:r>
    </w:p>
    <w:p w14:paraId="210FDED0" w14:textId="5F2EECF7" w:rsidR="001712DD" w:rsidRPr="004E2000" w:rsidRDefault="001712DD" w:rsidP="00A3004B">
      <w:pPr>
        <w:jc w:val="both"/>
        <w:rPr>
          <w:rFonts w:cstheme="minorHAnsi"/>
        </w:rPr>
      </w:pPr>
    </w:p>
    <w:sectPr w:rsidR="001712DD" w:rsidRPr="004E2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6F0E" w14:textId="77777777" w:rsidR="00872F9B" w:rsidRDefault="00872F9B" w:rsidP="00234126">
      <w:pPr>
        <w:spacing w:after="0" w:line="240" w:lineRule="auto"/>
      </w:pPr>
      <w:r>
        <w:separator/>
      </w:r>
    </w:p>
  </w:endnote>
  <w:endnote w:type="continuationSeparator" w:id="0">
    <w:p w14:paraId="0BEFB153" w14:textId="77777777" w:rsidR="00872F9B" w:rsidRDefault="00872F9B" w:rsidP="0023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07900"/>
      <w:docPartObj>
        <w:docPartGallery w:val="Page Numbers (Bottom of Page)"/>
        <w:docPartUnique/>
      </w:docPartObj>
    </w:sdtPr>
    <w:sdtEndPr/>
    <w:sdtContent>
      <w:p w14:paraId="52FE84E4" w14:textId="36753512" w:rsidR="00A91174" w:rsidRDefault="00A91174">
        <w:pPr>
          <w:pStyle w:val="Pieddepage"/>
          <w:jc w:val="center"/>
        </w:pPr>
        <w:r>
          <w:fldChar w:fldCharType="begin"/>
        </w:r>
        <w:r>
          <w:instrText>PAGE   \* MERGEFORMAT</w:instrText>
        </w:r>
        <w:r>
          <w:fldChar w:fldCharType="separate"/>
        </w:r>
        <w:r w:rsidR="005F3174">
          <w:rPr>
            <w:noProof/>
          </w:rPr>
          <w:t>1</w:t>
        </w:r>
        <w:r>
          <w:fldChar w:fldCharType="end"/>
        </w:r>
        <w:r>
          <w:t>/2</w:t>
        </w:r>
      </w:p>
    </w:sdtContent>
  </w:sdt>
  <w:p w14:paraId="093D11C6" w14:textId="77777777" w:rsidR="00A91174" w:rsidRDefault="00A91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1CA5" w14:textId="77777777" w:rsidR="00872F9B" w:rsidRDefault="00872F9B" w:rsidP="00234126">
      <w:pPr>
        <w:spacing w:after="0" w:line="240" w:lineRule="auto"/>
      </w:pPr>
      <w:r>
        <w:separator/>
      </w:r>
    </w:p>
  </w:footnote>
  <w:footnote w:type="continuationSeparator" w:id="0">
    <w:p w14:paraId="127F2961" w14:textId="77777777" w:rsidR="00872F9B" w:rsidRDefault="00872F9B" w:rsidP="0023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86CA" w14:textId="77777777" w:rsidR="00D0666C" w:rsidRDefault="00D0666C" w:rsidP="00D0666C">
    <w:pPr>
      <w:pStyle w:val="En-tte"/>
      <w:jc w:val="right"/>
      <w:rPr>
        <w:lang w:eastAsia="es-ES"/>
      </w:rPr>
    </w:pPr>
    <w:r w:rsidRPr="00EE1B8D">
      <w:rPr>
        <w:noProof/>
        <w:lang w:eastAsia="fr-FR"/>
      </w:rPr>
      <w:drawing>
        <wp:inline distT="0" distB="0" distL="0" distR="0" wp14:anchorId="7071A2DD" wp14:editId="5281F3EB">
          <wp:extent cx="1249360" cy="424884"/>
          <wp:effectExtent l="0" t="0" r="8255" b="0"/>
          <wp:docPr id="5" name="Image 5" descr="C:\Users\hugues.boiteau\AppData\Local\Temp\Temp1_logos_Inserm.zip\logos_Inserm\Logo_Inserm_Seul_partenariats\InsermSeul_Rvb_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ues.boiteau\AppData\Local\Temp\Temp1_logos_Inserm.zip\logos_Inserm\Logo_Inserm_Seul_partenariats\InsermSeul_Rvb__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533" cy="445008"/>
                  </a:xfrm>
                  <a:prstGeom prst="rect">
                    <a:avLst/>
                  </a:prstGeom>
                  <a:noFill/>
                  <a:ln>
                    <a:noFill/>
                  </a:ln>
                </pic:spPr>
              </pic:pic>
            </a:graphicData>
          </a:graphic>
        </wp:inline>
      </w:drawing>
    </w:r>
    <w:r w:rsidRPr="000541CA">
      <w:rPr>
        <w:rFonts w:ascii="Arial Narrow" w:eastAsia="SimSun" w:hAnsi="Arial Narrow" w:cs="Arial"/>
        <w:b/>
        <w:bCs/>
        <w:noProof/>
        <w:sz w:val="28"/>
        <w:szCs w:val="28"/>
        <w:lang w:eastAsia="fr-FR"/>
      </w:rPr>
      <w:drawing>
        <wp:anchor distT="0" distB="0" distL="114300" distR="114300" simplePos="0" relativeHeight="251659264" behindDoc="1" locked="0" layoutInCell="1" allowOverlap="1" wp14:anchorId="5E774D1F" wp14:editId="21D6746E">
          <wp:simplePos x="0" y="0"/>
          <wp:positionH relativeFrom="column">
            <wp:posOffset>-10795</wp:posOffset>
          </wp:positionH>
          <wp:positionV relativeFrom="paragraph">
            <wp:posOffset>-175260</wp:posOffset>
          </wp:positionV>
          <wp:extent cx="2713990" cy="548640"/>
          <wp:effectExtent l="0" t="0" r="0" b="3810"/>
          <wp:wrapTight wrapText="bothSides">
            <wp:wrapPolygon edited="0">
              <wp:start x="0" y="0"/>
              <wp:lineTo x="0" y="21000"/>
              <wp:lineTo x="21378" y="21000"/>
              <wp:lineTo x="21378" y="0"/>
              <wp:lineTo x="0" y="0"/>
            </wp:wrapPolygon>
          </wp:wrapTight>
          <wp:docPr id="3" name="圖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a:extLst>
                      <a:ext uri="{28A0092B-C50C-407E-A947-70E740481C1C}">
                        <a14:useLocalDpi xmlns:a14="http://schemas.microsoft.com/office/drawing/2010/main" val="0"/>
                      </a:ext>
                    </a:extLst>
                  </a:blip>
                  <a:srcRect l="9920" t="34494" r="9079" b="42134"/>
                  <a:stretch>
                    <a:fillRect/>
                  </a:stretch>
                </pic:blipFill>
                <pic:spPr bwMode="auto">
                  <a:xfrm>
                    <a:off x="0" y="0"/>
                    <a:ext cx="2713990" cy="548640"/>
                  </a:xfrm>
                  <a:prstGeom prst="rect">
                    <a:avLst/>
                  </a:prstGeom>
                  <a:noFill/>
                </pic:spPr>
              </pic:pic>
            </a:graphicData>
          </a:graphic>
          <wp14:sizeRelH relativeFrom="page">
            <wp14:pctWidth>0</wp14:pctWidth>
          </wp14:sizeRelH>
          <wp14:sizeRelV relativeFrom="page">
            <wp14:pctHeight>0</wp14:pctHeight>
          </wp14:sizeRelV>
        </wp:anchor>
      </w:drawing>
    </w:r>
  </w:p>
  <w:p w14:paraId="546EAE33" w14:textId="77777777" w:rsidR="00605895" w:rsidRPr="00D0666C" w:rsidRDefault="00605895" w:rsidP="00D066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098D"/>
    <w:multiLevelType w:val="hybridMultilevel"/>
    <w:tmpl w:val="75CEC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F94615"/>
    <w:multiLevelType w:val="hybridMultilevel"/>
    <w:tmpl w:val="CAE6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B22D0"/>
    <w:multiLevelType w:val="hybridMultilevel"/>
    <w:tmpl w:val="FE68A92A"/>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75866E0A"/>
    <w:multiLevelType w:val="hybridMultilevel"/>
    <w:tmpl w:val="CFAA5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0D4572"/>
    <w:multiLevelType w:val="hybridMultilevel"/>
    <w:tmpl w:val="C5EA223C"/>
    <w:lvl w:ilvl="0" w:tplc="EDD0D2E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73"/>
    <w:rsid w:val="000123CD"/>
    <w:rsid w:val="000335AA"/>
    <w:rsid w:val="00036999"/>
    <w:rsid w:val="000405D1"/>
    <w:rsid w:val="00082E78"/>
    <w:rsid w:val="00087C4D"/>
    <w:rsid w:val="00090818"/>
    <w:rsid w:val="000C0722"/>
    <w:rsid w:val="000F6155"/>
    <w:rsid w:val="000F7430"/>
    <w:rsid w:val="00101441"/>
    <w:rsid w:val="00110100"/>
    <w:rsid w:val="00111492"/>
    <w:rsid w:val="00131DB8"/>
    <w:rsid w:val="00134CCE"/>
    <w:rsid w:val="00151037"/>
    <w:rsid w:val="0015317F"/>
    <w:rsid w:val="00156147"/>
    <w:rsid w:val="001712DD"/>
    <w:rsid w:val="00172384"/>
    <w:rsid w:val="00175175"/>
    <w:rsid w:val="0017649B"/>
    <w:rsid w:val="001875F5"/>
    <w:rsid w:val="0019234B"/>
    <w:rsid w:val="001B01C4"/>
    <w:rsid w:val="001B47A0"/>
    <w:rsid w:val="001E70C5"/>
    <w:rsid w:val="00213D6D"/>
    <w:rsid w:val="002252D2"/>
    <w:rsid w:val="00233E95"/>
    <w:rsid w:val="00234126"/>
    <w:rsid w:val="002577E0"/>
    <w:rsid w:val="002D2637"/>
    <w:rsid w:val="002E3482"/>
    <w:rsid w:val="00301D2A"/>
    <w:rsid w:val="003071A3"/>
    <w:rsid w:val="00315870"/>
    <w:rsid w:val="0033769B"/>
    <w:rsid w:val="00341EE2"/>
    <w:rsid w:val="00360F53"/>
    <w:rsid w:val="00361A3E"/>
    <w:rsid w:val="00365D3B"/>
    <w:rsid w:val="00381772"/>
    <w:rsid w:val="003B408F"/>
    <w:rsid w:val="003C6F01"/>
    <w:rsid w:val="003E4FBA"/>
    <w:rsid w:val="003E7B76"/>
    <w:rsid w:val="004009A4"/>
    <w:rsid w:val="004063B7"/>
    <w:rsid w:val="004251F4"/>
    <w:rsid w:val="00440DAF"/>
    <w:rsid w:val="00460292"/>
    <w:rsid w:val="00460B74"/>
    <w:rsid w:val="004628E3"/>
    <w:rsid w:val="0047108F"/>
    <w:rsid w:val="004812E9"/>
    <w:rsid w:val="004B63D2"/>
    <w:rsid w:val="004C484B"/>
    <w:rsid w:val="004C6304"/>
    <w:rsid w:val="004C71DA"/>
    <w:rsid w:val="004D13A6"/>
    <w:rsid w:val="004E2000"/>
    <w:rsid w:val="004E5B2E"/>
    <w:rsid w:val="004E5BDC"/>
    <w:rsid w:val="00511E2C"/>
    <w:rsid w:val="00517D12"/>
    <w:rsid w:val="00523776"/>
    <w:rsid w:val="005239A5"/>
    <w:rsid w:val="005263DC"/>
    <w:rsid w:val="00527B7B"/>
    <w:rsid w:val="00531981"/>
    <w:rsid w:val="005D674A"/>
    <w:rsid w:val="005F031D"/>
    <w:rsid w:val="005F0E72"/>
    <w:rsid w:val="005F3174"/>
    <w:rsid w:val="00603F30"/>
    <w:rsid w:val="00605895"/>
    <w:rsid w:val="00622E29"/>
    <w:rsid w:val="006363B5"/>
    <w:rsid w:val="006522C2"/>
    <w:rsid w:val="00657A96"/>
    <w:rsid w:val="00666ED7"/>
    <w:rsid w:val="0067407A"/>
    <w:rsid w:val="00697E1B"/>
    <w:rsid w:val="00731DD8"/>
    <w:rsid w:val="0076579F"/>
    <w:rsid w:val="00765AD3"/>
    <w:rsid w:val="00775103"/>
    <w:rsid w:val="007815BA"/>
    <w:rsid w:val="00796B39"/>
    <w:rsid w:val="007C0455"/>
    <w:rsid w:val="007D0496"/>
    <w:rsid w:val="007D4FBA"/>
    <w:rsid w:val="007E34E6"/>
    <w:rsid w:val="007E46A8"/>
    <w:rsid w:val="007F00CD"/>
    <w:rsid w:val="007F5182"/>
    <w:rsid w:val="007F639C"/>
    <w:rsid w:val="00812EEF"/>
    <w:rsid w:val="008326A8"/>
    <w:rsid w:val="00855768"/>
    <w:rsid w:val="00872F9B"/>
    <w:rsid w:val="00875C21"/>
    <w:rsid w:val="0087651F"/>
    <w:rsid w:val="0089597C"/>
    <w:rsid w:val="008A208C"/>
    <w:rsid w:val="008A7E91"/>
    <w:rsid w:val="008B7770"/>
    <w:rsid w:val="008B7E0C"/>
    <w:rsid w:val="008F4C9A"/>
    <w:rsid w:val="00934AE4"/>
    <w:rsid w:val="00943BE0"/>
    <w:rsid w:val="00971BC8"/>
    <w:rsid w:val="00976883"/>
    <w:rsid w:val="009822F1"/>
    <w:rsid w:val="009826B5"/>
    <w:rsid w:val="009A2963"/>
    <w:rsid w:val="009A4019"/>
    <w:rsid w:val="009D4013"/>
    <w:rsid w:val="00A00409"/>
    <w:rsid w:val="00A3004B"/>
    <w:rsid w:val="00A55638"/>
    <w:rsid w:val="00A56031"/>
    <w:rsid w:val="00A56232"/>
    <w:rsid w:val="00A6428E"/>
    <w:rsid w:val="00A871E3"/>
    <w:rsid w:val="00A91174"/>
    <w:rsid w:val="00A97B3E"/>
    <w:rsid w:val="00AC2202"/>
    <w:rsid w:val="00B1250B"/>
    <w:rsid w:val="00B178D5"/>
    <w:rsid w:val="00B36E52"/>
    <w:rsid w:val="00B63BD6"/>
    <w:rsid w:val="00B66873"/>
    <w:rsid w:val="00B73A0E"/>
    <w:rsid w:val="00B74EF0"/>
    <w:rsid w:val="00B75183"/>
    <w:rsid w:val="00B82401"/>
    <w:rsid w:val="00B94EEC"/>
    <w:rsid w:val="00B9583A"/>
    <w:rsid w:val="00B96822"/>
    <w:rsid w:val="00BA7ADC"/>
    <w:rsid w:val="00BE4F3B"/>
    <w:rsid w:val="00BE5D14"/>
    <w:rsid w:val="00BF2FEC"/>
    <w:rsid w:val="00C0116B"/>
    <w:rsid w:val="00C05EF4"/>
    <w:rsid w:val="00C10080"/>
    <w:rsid w:val="00C2228D"/>
    <w:rsid w:val="00C8309E"/>
    <w:rsid w:val="00CA5459"/>
    <w:rsid w:val="00CB3E2D"/>
    <w:rsid w:val="00CB5816"/>
    <w:rsid w:val="00D0666C"/>
    <w:rsid w:val="00D1463A"/>
    <w:rsid w:val="00D3453E"/>
    <w:rsid w:val="00D354B0"/>
    <w:rsid w:val="00D362D8"/>
    <w:rsid w:val="00D40619"/>
    <w:rsid w:val="00D526F8"/>
    <w:rsid w:val="00D60C1B"/>
    <w:rsid w:val="00D7316B"/>
    <w:rsid w:val="00DC7F83"/>
    <w:rsid w:val="00DD5A95"/>
    <w:rsid w:val="00DE4330"/>
    <w:rsid w:val="00DE444B"/>
    <w:rsid w:val="00DF1E8A"/>
    <w:rsid w:val="00DF37CE"/>
    <w:rsid w:val="00DF569B"/>
    <w:rsid w:val="00E1207F"/>
    <w:rsid w:val="00E34D31"/>
    <w:rsid w:val="00E57ED4"/>
    <w:rsid w:val="00E93F2E"/>
    <w:rsid w:val="00EB6DCC"/>
    <w:rsid w:val="00EB78FD"/>
    <w:rsid w:val="00F069D2"/>
    <w:rsid w:val="00F259A1"/>
    <w:rsid w:val="00F40EA6"/>
    <w:rsid w:val="00F45143"/>
    <w:rsid w:val="00F52999"/>
    <w:rsid w:val="00F97A78"/>
    <w:rsid w:val="00FD3705"/>
    <w:rsid w:val="00FF07E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FC6A5"/>
  <w15:docId w15:val="{6C69A9F4-A7D9-4356-8320-B4FC9A0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9A4"/>
    <w:pPr>
      <w:ind w:left="720"/>
      <w:contextualSpacing/>
    </w:pPr>
  </w:style>
  <w:style w:type="character" w:styleId="Lienhypertexte">
    <w:name w:val="Hyperlink"/>
    <w:basedOn w:val="Policepardfaut"/>
    <w:uiPriority w:val="99"/>
    <w:unhideWhenUsed/>
    <w:rsid w:val="004E2000"/>
    <w:rPr>
      <w:color w:val="0000FF" w:themeColor="hyperlink"/>
      <w:u w:val="single"/>
    </w:rPr>
  </w:style>
  <w:style w:type="paragraph" w:styleId="En-tte">
    <w:name w:val="header"/>
    <w:basedOn w:val="Normal"/>
    <w:link w:val="En-tteCar"/>
    <w:uiPriority w:val="99"/>
    <w:unhideWhenUsed/>
    <w:rsid w:val="00234126"/>
    <w:pPr>
      <w:tabs>
        <w:tab w:val="center" w:pos="4153"/>
        <w:tab w:val="right" w:pos="8306"/>
      </w:tabs>
      <w:spacing w:after="0" w:line="240" w:lineRule="auto"/>
    </w:pPr>
  </w:style>
  <w:style w:type="character" w:customStyle="1" w:styleId="En-tteCar">
    <w:name w:val="En-tête Car"/>
    <w:basedOn w:val="Policepardfaut"/>
    <w:link w:val="En-tte"/>
    <w:uiPriority w:val="99"/>
    <w:qFormat/>
    <w:rsid w:val="00234126"/>
  </w:style>
  <w:style w:type="paragraph" w:styleId="Pieddepage">
    <w:name w:val="footer"/>
    <w:basedOn w:val="Normal"/>
    <w:link w:val="PieddepageCar"/>
    <w:uiPriority w:val="99"/>
    <w:unhideWhenUsed/>
    <w:rsid w:val="002341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34126"/>
  </w:style>
  <w:style w:type="paragraph" w:styleId="Textedebulles">
    <w:name w:val="Balloon Text"/>
    <w:basedOn w:val="Normal"/>
    <w:link w:val="TextedebullesCar"/>
    <w:uiPriority w:val="99"/>
    <w:semiHidden/>
    <w:unhideWhenUsed/>
    <w:rsid w:val="00365D3B"/>
    <w:pPr>
      <w:spacing w:after="0" w:line="240" w:lineRule="auto"/>
    </w:pPr>
    <w:rPr>
      <w:rFonts w:ascii="PMingLiU" w:eastAsia="PMingLiU"/>
      <w:sz w:val="18"/>
      <w:szCs w:val="18"/>
    </w:rPr>
  </w:style>
  <w:style w:type="character" w:customStyle="1" w:styleId="TextedebullesCar">
    <w:name w:val="Texte de bulles Car"/>
    <w:basedOn w:val="Policepardfaut"/>
    <w:link w:val="Textedebulles"/>
    <w:uiPriority w:val="99"/>
    <w:semiHidden/>
    <w:rsid w:val="00365D3B"/>
    <w:rPr>
      <w:rFonts w:ascii="PMingLiU" w:eastAsia="PMingLiU"/>
      <w:sz w:val="18"/>
      <w:szCs w:val="18"/>
    </w:rPr>
  </w:style>
  <w:style w:type="character" w:styleId="Marquedecommentaire">
    <w:name w:val="annotation reference"/>
    <w:basedOn w:val="Policepardfaut"/>
    <w:uiPriority w:val="99"/>
    <w:semiHidden/>
    <w:unhideWhenUsed/>
    <w:rsid w:val="00875C21"/>
    <w:rPr>
      <w:sz w:val="16"/>
      <w:szCs w:val="16"/>
    </w:rPr>
  </w:style>
  <w:style w:type="paragraph" w:styleId="Commentaire">
    <w:name w:val="annotation text"/>
    <w:basedOn w:val="Normal"/>
    <w:link w:val="CommentaireCar"/>
    <w:uiPriority w:val="99"/>
    <w:semiHidden/>
    <w:unhideWhenUsed/>
    <w:rsid w:val="00875C21"/>
    <w:pPr>
      <w:spacing w:line="240" w:lineRule="auto"/>
    </w:pPr>
    <w:rPr>
      <w:sz w:val="20"/>
      <w:szCs w:val="20"/>
    </w:rPr>
  </w:style>
  <w:style w:type="character" w:customStyle="1" w:styleId="CommentaireCar">
    <w:name w:val="Commentaire Car"/>
    <w:basedOn w:val="Policepardfaut"/>
    <w:link w:val="Commentaire"/>
    <w:uiPriority w:val="99"/>
    <w:semiHidden/>
    <w:rsid w:val="00875C21"/>
    <w:rPr>
      <w:sz w:val="20"/>
      <w:szCs w:val="20"/>
    </w:rPr>
  </w:style>
  <w:style w:type="paragraph" w:styleId="Objetducommentaire">
    <w:name w:val="annotation subject"/>
    <w:basedOn w:val="Commentaire"/>
    <w:next w:val="Commentaire"/>
    <w:link w:val="ObjetducommentaireCar"/>
    <w:uiPriority w:val="99"/>
    <w:semiHidden/>
    <w:unhideWhenUsed/>
    <w:rsid w:val="00875C21"/>
    <w:rPr>
      <w:b/>
      <w:bCs/>
    </w:rPr>
  </w:style>
  <w:style w:type="character" w:customStyle="1" w:styleId="ObjetducommentaireCar">
    <w:name w:val="Objet du commentaire Car"/>
    <w:basedOn w:val="CommentaireCar"/>
    <w:link w:val="Objetducommentaire"/>
    <w:uiPriority w:val="99"/>
    <w:semiHidden/>
    <w:rsid w:val="00875C21"/>
    <w:rPr>
      <w:b/>
      <w:bCs/>
      <w:sz w:val="20"/>
      <w:szCs w:val="20"/>
    </w:rPr>
  </w:style>
  <w:style w:type="paragraph" w:styleId="Rvision">
    <w:name w:val="Revision"/>
    <w:hidden/>
    <w:uiPriority w:val="99"/>
    <w:semiHidden/>
    <w:rsid w:val="00875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ues.boiteau@inser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23AA-5C4C-41D3-B5CC-8D3F0AC3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Vizy</dc:creator>
  <cp:keywords/>
  <dc:description/>
  <cp:lastModifiedBy>Hugues Boiteau</cp:lastModifiedBy>
  <cp:revision>13</cp:revision>
  <cp:lastPrinted>2021-04-30T13:08:00Z</cp:lastPrinted>
  <dcterms:created xsi:type="dcterms:W3CDTF">2023-05-30T15:26:00Z</dcterms:created>
  <dcterms:modified xsi:type="dcterms:W3CDTF">2023-05-31T08:59:00Z</dcterms:modified>
</cp:coreProperties>
</file>